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5037B" w14:textId="7984742A" w:rsidR="000875B1" w:rsidRPr="000875B1" w:rsidRDefault="000875B1" w:rsidP="000875B1">
      <w:pPr>
        <w:jc w:val="center"/>
        <w:rPr>
          <w:b/>
          <w:bCs/>
        </w:rPr>
      </w:pPr>
      <w:r w:rsidRPr="000875B1">
        <w:rPr>
          <w:b/>
          <w:bCs/>
        </w:rPr>
        <w:t>Chapter 10</w:t>
      </w:r>
    </w:p>
    <w:p w14:paraId="4E12C8B4" w14:textId="5EA3CC99" w:rsidR="000875B1" w:rsidRDefault="000875B1">
      <w:r>
        <w:t xml:space="preserve">The reference is given for this question, </w:t>
      </w:r>
      <w:proofErr w:type="gramStart"/>
      <w:r>
        <w:t>it’ll</w:t>
      </w:r>
      <w:proofErr w:type="gramEnd"/>
      <w:r>
        <w:t xml:space="preserve"> most likely be a google: </w:t>
      </w:r>
      <w:proofErr w:type="spellStart"/>
      <w:r w:rsidRPr="000875B1">
        <w:t>Immunomedics</w:t>
      </w:r>
      <w:proofErr w:type="spellEnd"/>
      <w:r w:rsidRPr="000875B1">
        <w:t>, Inc. v. Doe, 342 N.J. Super. 160 (2001).</w:t>
      </w:r>
    </w:p>
    <w:p w14:paraId="18EAEB47" w14:textId="77777777" w:rsidR="000875B1" w:rsidRDefault="000875B1" w:rsidP="000875B1"/>
    <w:p w14:paraId="0750D1EC" w14:textId="77777777" w:rsidR="000875B1" w:rsidRDefault="000875B1" w:rsidP="000875B1">
      <w:r>
        <w:t>Invention Assignment Agreements (IAAs)</w:t>
      </w:r>
    </w:p>
    <w:p w14:paraId="4291F704" w14:textId="77777777" w:rsidR="000875B1" w:rsidRDefault="000875B1" w:rsidP="000875B1">
      <w:r>
        <w:t>Invention assignment agreements (IAAs) are meant to capture and assign to the company all inventions of the employee. The employee agrees to surrender all ownership rights in the invention and assign them to the company (the assignee). The assignment covers all associated data, formulae, know-how, and trade secrets that form the basis for the invention. It is critical to note that an assignment of inventions agreement is different from a licensing arrangement (in which the inventor retains rights in and control to the technology, and grants the company limited rights to use the technology). Furthermore, employees are required to disclose all inventions to the company in a timely manner and maintain adequate records of the inventing process. Inventions included within the scope of this agreement survive even the term of employment. This occurs when, for example, an employee departs or is fired, but their ideas conceived during the term of employment belong to the company and not to the employee or their subsequent employer.</w:t>
      </w:r>
    </w:p>
    <w:p w14:paraId="74BE3BB4" w14:textId="77777777" w:rsidR="000875B1" w:rsidRDefault="000875B1" w:rsidP="000875B1">
      <w:r>
        <w:t xml:space="preserve">IAAs commonly cover all work pursued during the term of employment that relates to the company’s current or anticipated areas of business research or development, while using the company’s property (including physical and intellectual property), equipment, supplies—in essence any company resource. It is a challenge in this area to balance the rights of employers and employees. (Recall the Iconix case in Chapter 2.) IAAs, and all agreements, are governed by state law, and therefore parties should expect that there will be wide differences among </w:t>
      </w:r>
      <w:r>
        <w:lastRenderedPageBreak/>
        <w:t>jurisdictions on these agreements. Notably, California Labor Code Section 2870 provides that IAAs do not apply “to an invention that the employee developed entirely on his or her own time without using the employer’s equipment, supplies, facilities, or trade secret information….”</w:t>
      </w:r>
    </w:p>
    <w:p w14:paraId="41054DC5" w14:textId="77777777" w:rsidR="000875B1" w:rsidRDefault="000875B1" w:rsidP="000875B1">
      <w:r>
        <w:t>The following case is a striking example of a high-stakes competitive environment with departing employees, ideas, copyrights, trademarks, and an invention assignment agreement that may, or may not, be applicable.</w:t>
      </w:r>
    </w:p>
    <w:p w14:paraId="03854F45" w14:textId="77777777" w:rsidR="000875B1" w:rsidRDefault="000875B1" w:rsidP="000875B1">
      <w:r>
        <w:t>MATTEL, INC. v. MGA ENTERTAINMENT, INC.: 2009 U.S. App. LEXIS 29187 (9th Cir. July 22, 2010)</w:t>
      </w:r>
    </w:p>
    <w:p w14:paraId="2C3EAF3B" w14:textId="77777777" w:rsidR="000875B1" w:rsidRDefault="000875B1" w:rsidP="000875B1">
      <w:r>
        <w:t>FACTS</w:t>
      </w:r>
    </w:p>
    <w:p w14:paraId="7BD547DE" w14:textId="77777777" w:rsidR="000875B1" w:rsidRDefault="000875B1" w:rsidP="000875B1">
      <w:r>
        <w:t xml:space="preserve">Mattel employee Carter Bryant worked in the “Barbie Collectibles” department where he designed fashion and hairstyles for the dolls. In August 2000, while still employed by Mattel, Bryant pitched his idea for the Bratz line of dolls to MGA, one of Mattel’s competitors. Bryant received a </w:t>
      </w:r>
      <w:proofErr w:type="spellStart"/>
      <w:r>
        <w:t>callback</w:t>
      </w:r>
      <w:proofErr w:type="spellEnd"/>
      <w:r>
        <w:t xml:space="preserve"> from MGAs CEO, and for that meeting Bryant brought preliminary sketches as well as a crude dummy constructed out of a doll head from a Mattel bin, a Barbie body, and Ken boots. Bryant signed a consulting agreement with MGA dated Sept. 18, 2000. He gave Mattel two weeks’ notice on </w:t>
      </w:r>
      <w:proofErr w:type="gramStart"/>
      <w:r>
        <w:t>October 4th, and</w:t>
      </w:r>
      <w:proofErr w:type="gramEnd"/>
      <w:r>
        <w:t xml:space="preserve"> continued working there until October 19th. During this </w:t>
      </w:r>
      <w:proofErr w:type="gramStart"/>
      <w:r>
        <w:t>period</w:t>
      </w:r>
      <w:proofErr w:type="gramEnd"/>
      <w:r>
        <w:t xml:space="preserve"> he was also working with MGA to develop Bratz, even creating a preliminary sculpt (a mannequin-like plastic doll body without skin coloring, face paint, hair or clothing. The sculpt was </w:t>
      </w:r>
      <w:proofErr w:type="gramStart"/>
      <w:r>
        <w:t>actually created</w:t>
      </w:r>
      <w:proofErr w:type="gramEnd"/>
      <w:r>
        <w:t xml:space="preserve"> by a freelancer working for Bryant and Bryant owns all rights to it).</w:t>
      </w:r>
    </w:p>
    <w:p w14:paraId="4032FCE5" w14:textId="77777777" w:rsidR="000875B1" w:rsidRDefault="000875B1" w:rsidP="000875B1">
      <w:r>
        <w:t xml:space="preserve">MGA kept Bryant’s involvement with the Bratz project secret, but Mattel eventually found out. This led to </w:t>
      </w:r>
      <w:proofErr w:type="gramStart"/>
      <w:r>
        <w:t>a number of</w:t>
      </w:r>
      <w:proofErr w:type="gramEnd"/>
      <w:r>
        <w:t xml:space="preserve"> lawsuits. Proceedings were split into two phases: Phase 1 dealt with the claims relating to the ownership of Bratz; Phase 2 is pending and will deal with the remaining claims. This is an appeal from the equitable orders entered at the conclusion of Phase 1. During </w:t>
      </w:r>
      <w:r>
        <w:lastRenderedPageBreak/>
        <w:t>Phase 1, Mattel argued that Bryant violated his employment agreement by going to MGA with his Bratz idea instead of disclosing and assigning it to Mattel. Mattel claimed it was the rightful owner of the sketches and sculpt, and therefore the subsequent Bratz dolls infringed. Mattel won virtually every point below. The jury awarded Mattel $10 million along with equitable relief that imposed a constructive trust over all trademarks and copyrights, and prohibited MGA from marketing any Bratz-branded products.</w:t>
      </w:r>
    </w:p>
    <w:p w14:paraId="7F1CB0BC" w14:textId="77777777" w:rsidR="000875B1" w:rsidRDefault="000875B1" w:rsidP="000875B1">
      <w:r>
        <w:t>JUDICIAL OPINION: CHIEF JUDGE KOZINSKI</w:t>
      </w:r>
    </w:p>
    <w:p w14:paraId="0AB50A72" w14:textId="77777777" w:rsidR="000875B1" w:rsidRDefault="000875B1" w:rsidP="000875B1">
      <w:r>
        <w:t>I. Who owns Bratz?</w:t>
      </w:r>
    </w:p>
    <w:p w14:paraId="5E5E6B7D" w14:textId="77777777" w:rsidR="000875B1" w:rsidRDefault="000875B1" w:rsidP="000875B1">
      <w:r>
        <w:t xml:space="preserve">Barbie was the unrivaled queen of the fashion-doll market throughout the latter half of the 20th Century. But 2001 saw the introduction of Bratz, “The Girls </w:t>
      </w:r>
      <w:proofErr w:type="gramStart"/>
      <w:r>
        <w:t>With</w:t>
      </w:r>
      <w:proofErr w:type="gramEnd"/>
      <w:r>
        <w:t xml:space="preserve"> a Passion for Fashion!” This spunk struck a chord, and Bratz became an overnight success. Mattel, which produces Barbie, </w:t>
      </w:r>
      <w:proofErr w:type="gramStart"/>
      <w:r>
        <w:t>didn’t</w:t>
      </w:r>
      <w:proofErr w:type="gramEnd"/>
      <w:r>
        <w:t xml:space="preserve"> relish the competition. And it was particularly unhappy when it learned that the man behind Bratz was its own former employee, Carter Bryant.</w:t>
      </w:r>
    </w:p>
    <w:p w14:paraId="674E7D77" w14:textId="77777777" w:rsidR="000875B1" w:rsidRDefault="000875B1" w:rsidP="000875B1">
      <w:r>
        <w:t>II. A constructive trust would be appropriate only if Bryant assigned his ideas for Bratz to Mattel in the first place. Whether he did turns on the interpretation of Bryant’s 1999 employment agreement, which provides: “I agree to communicate to the Company … all inventions conceived or reduced to practice by me … at any time during my employment by the Company. I hereby assign to the Company … all my right, title and interest in such inventions, and all my right, title and interest in any patents, copyrights, patent applications or copyright applications based thereon.”</w:t>
      </w:r>
    </w:p>
    <w:p w14:paraId="49301D04" w14:textId="77777777" w:rsidR="000875B1" w:rsidRDefault="000875B1" w:rsidP="000875B1">
      <w:r>
        <w:t xml:space="preserve">The contract specifies that the term “invention” includes, but is not limited to all discoveries, improvements, processes, developments, designs, know-how, data computer programs and formulae. The district court held that the agreement assigned Bryant’s ideas to Mattel, even </w:t>
      </w:r>
      <w:r>
        <w:lastRenderedPageBreak/>
        <w:t>though ideas are not specifically listed in the contract. We review the district court’s construction of the agreement de novo.</w:t>
      </w:r>
    </w:p>
    <w:p w14:paraId="55D5F3AD" w14:textId="77777777" w:rsidR="000875B1" w:rsidRDefault="000875B1" w:rsidP="000875B1">
      <w:r>
        <w:t xml:space="preserve">Mattel points out that the list of examples of what constitutes an invention is illustrative rather than exclusive. Ideas, however, are markedly different from most of the listed examples. Designs, processes, computer programs, etc. are concrete, unlike ideas, which are ephemeral and often reflect bursts of inspiration that exist only in the mind. On the other hand, the agreement also lists less tangible invention such know-how and discoveries. We conclude that the agreement could be interpreted to cover ideas, but the text </w:t>
      </w:r>
      <w:proofErr w:type="gramStart"/>
      <w:r>
        <w:t>doesn’t</w:t>
      </w:r>
      <w:proofErr w:type="gramEnd"/>
      <w:r>
        <w:t xml:space="preserve"> compel that reading. [Plus] during litigation, the parties introduced other contracts, one for example Mattel drafted for employees in which they expressly assigned their ideas as well as their inventions which tends to show that the term inventions alone </w:t>
      </w:r>
      <w:proofErr w:type="gramStart"/>
      <w:r>
        <w:t>doesn’t</w:t>
      </w:r>
      <w:proofErr w:type="gramEnd"/>
      <w:r>
        <w:t xml:space="preserve"> include ideas. The district court thus erred in holding that the agreement … clearly covered ideas.</w:t>
      </w:r>
    </w:p>
    <w:p w14:paraId="0BF209CB" w14:textId="77777777" w:rsidR="000875B1" w:rsidRDefault="000875B1" w:rsidP="000875B1">
      <w:r>
        <w:t xml:space="preserve">III. Mattel also claimed ownership of Bryant’s preliminary Bratz drawings and sculpt under Bryant’s employment agreement, and that MGA dolls infringed its copyrights in those works. The drawings and sculpt clearly </w:t>
      </w:r>
      <w:proofErr w:type="gramStart"/>
      <w:r>
        <w:t>were</w:t>
      </w:r>
      <w:proofErr w:type="gramEnd"/>
      <w:r>
        <w:t xml:space="preserve"> inventions as that term is defined in Bryant’s employment agreement with Mattel. However, MGA argued that the employment agreement </w:t>
      </w:r>
      <w:proofErr w:type="gramStart"/>
      <w:r>
        <w:t>didn’t</w:t>
      </w:r>
      <w:proofErr w:type="gramEnd"/>
      <w:r>
        <w:t xml:space="preserve"> assign the items because Bryant created them outside the scope of his employment at Mattel, on his own time. The district court held that the agreement assigned inventions even if they were not made during working hours, so long as they were created during the </w:t>
      </w:r>
      <w:proofErr w:type="gramStart"/>
      <w:r>
        <w:t>time period</w:t>
      </w:r>
      <w:proofErr w:type="gramEnd"/>
      <w:r>
        <w:t xml:space="preserve"> Bryant was employed by Mattel. The jury was not asked to find whether Bryant made the drawings and sculpt during Mattel work hours, and </w:t>
      </w:r>
      <w:proofErr w:type="gramStart"/>
      <w:r>
        <w:t>it’s</w:t>
      </w:r>
      <w:proofErr w:type="gramEnd"/>
      <w:r>
        <w:t xml:space="preserve"> unclear whether the record contained any evidence on this point.</w:t>
      </w:r>
    </w:p>
    <w:p w14:paraId="5F6E7155" w14:textId="77777777" w:rsidR="000875B1" w:rsidRDefault="000875B1" w:rsidP="000875B1">
      <w:r>
        <w:t xml:space="preserve">The phrase “at any time during my employment” is ambiguous. It could easily refer to the entire calendar period he worked for Mattel, including nights and weekends. But it can also be read </w:t>
      </w:r>
      <w:r>
        <w:lastRenderedPageBreak/>
        <w:t xml:space="preserve">more narrowly to encompass only those inventions created during work hours, possibly including lunch and coffee breaks. Extrinsic evidence </w:t>
      </w:r>
      <w:proofErr w:type="gramStart"/>
      <w:r>
        <w:t>doesn’t</w:t>
      </w:r>
      <w:proofErr w:type="gramEnd"/>
      <w:r>
        <w:t xml:space="preserve"> resolve the ambiguity. For example, an employee testified that it was “common knowledge that a lot of people were moonlighting and doing other work,” which </w:t>
      </w:r>
      <w:proofErr w:type="gramStart"/>
      <w:r>
        <w:t>wasn’t</w:t>
      </w:r>
      <w:proofErr w:type="gramEnd"/>
      <w:r>
        <w:t xml:space="preserve"> a problem so long as it was done on their own time. However, another employee testified, “Everything I did for Mattel belonged to Mattel. Actually, everything I did while I was working for Mattel belonged to Mattel.” The issue should have been submitted to the jury, which could then have been instructed to determine (1) whether Bryant’s agreement assigned works created outside the scope of his employment at Mattel, and (2) whether Bryant’s creation of the Bratz sketches and sculpt was outside the scope of his employment.…</w:t>
      </w:r>
    </w:p>
    <w:p w14:paraId="2AFEB9C0" w14:textId="77777777" w:rsidR="000875B1" w:rsidRDefault="000875B1" w:rsidP="000875B1">
      <w:r>
        <w:t>* * *</w:t>
      </w:r>
    </w:p>
    <w:p w14:paraId="0928B57F" w14:textId="77777777" w:rsidR="000875B1" w:rsidRDefault="000875B1" w:rsidP="000875B1">
      <w:r>
        <w:t xml:space="preserve">Bryant’s employment agreement may not have assigned his ideas for the Bratz name to Mattel at all, and the district court erred by holding that it did so unambiguously. Even if Bryant did assign his ideas, the district court abused its discretion in transferring the entire Bratz trademark portfolio to Mattel. We therefore vacate the constructive trust and injunction. The district court may impose a narrower constructive trust on remand only if </w:t>
      </w:r>
      <w:proofErr w:type="gramStart"/>
      <w:r>
        <w:t>there’s</w:t>
      </w:r>
      <w:proofErr w:type="gramEnd"/>
      <w:r>
        <w:t xml:space="preserve"> a proper determination that Mattel owns Bryant’s ideas.</w:t>
      </w:r>
    </w:p>
    <w:p w14:paraId="79C78C32" w14:textId="77777777" w:rsidR="000875B1" w:rsidRDefault="000875B1" w:rsidP="000875B1">
      <w:r>
        <w:t xml:space="preserve">The district court also erred in holding, at summary judgment, that the employment agreement assigned works created outside the scope of Bryant’s employment. We therefore vacate the copyright injunction. On remand, Mattel will have to convince a jury that the agreement assigned Bryant’s preliminary sketches and sculpt, either because the agreement assigns works made outside the scope of employment or because these works </w:t>
      </w:r>
      <w:proofErr w:type="gramStart"/>
      <w:r>
        <w:t>weren’t</w:t>
      </w:r>
      <w:proofErr w:type="gramEnd"/>
      <w:r>
        <w:t xml:space="preserve"> made outside of Bryant’s employment.</w:t>
      </w:r>
    </w:p>
    <w:p w14:paraId="4CECEA2A" w14:textId="775A49CE" w:rsidR="000875B1" w:rsidRDefault="000875B1" w:rsidP="000875B1">
      <w:r>
        <w:lastRenderedPageBreak/>
        <w:t>America thrives on competition; Barbie, the all-American girl, will too. Equitable relief vacated. Each party shall bear its own costs.</w:t>
      </w:r>
    </w:p>
    <w:p w14:paraId="2BE4BFB4" w14:textId="0B33B860" w:rsidR="000875B1" w:rsidRPr="000875B1" w:rsidRDefault="000875B1" w:rsidP="000875B1">
      <w:pPr>
        <w:jc w:val="center"/>
        <w:rPr>
          <w:b/>
          <w:bCs/>
        </w:rPr>
      </w:pPr>
      <w:r w:rsidRPr="000875B1">
        <w:rPr>
          <w:b/>
          <w:bCs/>
        </w:rPr>
        <w:t>Chapter 12</w:t>
      </w:r>
    </w:p>
    <w:p w14:paraId="39AC464E" w14:textId="77777777" w:rsidR="000875B1" w:rsidRDefault="000875B1" w:rsidP="000875B1">
      <w:r>
        <w:t>Laws Mandating Specific Security Requirements</w:t>
      </w:r>
    </w:p>
    <w:p w14:paraId="2111F960" w14:textId="77777777" w:rsidR="000875B1" w:rsidRDefault="000875B1" w:rsidP="000875B1">
      <w:r>
        <w:t>Another emerging trend in state privacy laws are statutes that require specific information security requirements and encryption of personal data, including Social Security numbers (SSNs). Nevada is one notable state in this regard, with a 2008 law requiring that “[a] business in this State shall not transfer any personal information of a customer through an electronic transmission other than a facsimile to a person outside of the secure system of the business unless the business uses encryption to ensure the security of electronic transmission.”28 In addition, as of January 1, 2010, a new measure requires “data collectors” (a broad term that can include businesses and governmental agencies) who do business in the state and accept payment cards to comply with the Payment Card Industry’s security standard, known as PCI DSS. In addition, the new measure also requires data collectors who do not accept payment cards to use encryption when transferring sensitive personal information “outside of the secure system.”</w:t>
      </w:r>
    </w:p>
    <w:p w14:paraId="4998A5F3" w14:textId="77777777" w:rsidR="000875B1" w:rsidRDefault="000875B1" w:rsidP="000875B1">
      <w:r>
        <w:t xml:space="preserve">Even more notable is Massachusetts, where the Office of Consumer Affairs and Business Regulation recently enacted regulations pertaining to identity theft and data security. The regulations have broad coverage because they apply to all entities that “own[], license[], store[] or maintain[] personal information about a resident of the Commonwealth,” and not only those entities located or operate in the state.29 Additionally, the definition of “person” in the regulations is broad, including “a natural person, corporation, association, partnership or other legal entity, other than an agency, executive office, department, board, commission, bureau, division or authority of the Commonwealth, or any of its branches, or any political subdivision </w:t>
      </w:r>
      <w:r>
        <w:lastRenderedPageBreak/>
        <w:t>thereof.” The regulations require that “[e]very person that owns, licenses, stores or maintains personal information about a resident of the Commonwealth shall develop, implement, maintain and monitor a comprehensive, written information security program applicable to any records containing such personal information.”</w:t>
      </w:r>
    </w:p>
    <w:p w14:paraId="00233F76" w14:textId="77777777" w:rsidR="000875B1" w:rsidRDefault="000875B1" w:rsidP="000875B1">
      <w:r>
        <w:t>The Massachusetts regulations also have provisions governing the encryption of data, including SSNs. The regulations require that all transmitted records and files that contain personal information be encrypted when transmitted wirelessly or over a public network. The regulations also require encryption of all personal information that is “stored on laptops or other portable devices.” The Massachusetts statute is one of the broadest encryption laws to have been passed thus far. The new Massachusetts privacy regulations do not contain an exemption for other compliance, such as compliance with the federal Gramm-Leach-Bliley Act30 or other federal statutes, instead requiring that all persons comply with the stringent requirements. Because the Massachusetts regulations have no exemption for persons who comply with Gramm-Leach-Bliley, even companies already in compliance may have to rework their privacy policies to comply with the Massachusetts regulations.</w:t>
      </w:r>
    </w:p>
    <w:p w14:paraId="63463FB9" w14:textId="77777777" w:rsidR="000875B1" w:rsidRDefault="000875B1" w:rsidP="000875B1">
      <w:r>
        <w:t>Enforcing Privacy and Data Security Rights</w:t>
      </w:r>
    </w:p>
    <w:p w14:paraId="19077C58" w14:textId="77777777" w:rsidR="000875B1" w:rsidRDefault="000875B1" w:rsidP="000875B1">
      <w:r>
        <w:t xml:space="preserve">Although enforcement actions involving data privacy violations are still relatively new, there have been </w:t>
      </w:r>
      <w:proofErr w:type="gramStart"/>
      <w:r>
        <w:t>a number of</w:t>
      </w:r>
      <w:proofErr w:type="gramEnd"/>
      <w:r>
        <w:t xml:space="preserve"> cases that serve to emphasize that such violations may come with considerable penalties. To illustrate this point, this section shall examine several representative cases and enforcement actions.</w:t>
      </w:r>
    </w:p>
    <w:p w14:paraId="4F39FF8E" w14:textId="77777777" w:rsidR="000875B1" w:rsidRDefault="000875B1" w:rsidP="000875B1">
      <w:r>
        <w:t xml:space="preserve">In addition to complying with requirements set forth in applicable data privacy laws and regulations, entities also </w:t>
      </w:r>
      <w:proofErr w:type="gramStart"/>
      <w:r>
        <w:t>have to</w:t>
      </w:r>
      <w:proofErr w:type="gramEnd"/>
      <w:r>
        <w:t xml:space="preserve"> ensure that their data collection, use and disclosure practices are conducted in accordance with their stated policies. There have been </w:t>
      </w:r>
      <w:proofErr w:type="gramStart"/>
      <w:r>
        <w:t>a number of</w:t>
      </w:r>
      <w:proofErr w:type="gramEnd"/>
      <w:r>
        <w:t xml:space="preserve"> cases that </w:t>
      </w:r>
      <w:r>
        <w:lastRenderedPageBreak/>
        <w:t xml:space="preserve">clearly demonstrate that companies are bound by the terms of their stated policies. Such cases are of particular importance when one considers the kinds of demands for information that governmental authorities have been making on private entities, including by requiring such companies to disclose customer data to the government, even </w:t>
      </w:r>
      <w:proofErr w:type="gramStart"/>
      <w:r>
        <w:t>where</w:t>
      </w:r>
      <w:proofErr w:type="gramEnd"/>
      <w:r>
        <w:t xml:space="preserve"> doing so would cause the companies to be in violation of their own policies.</w:t>
      </w:r>
    </w:p>
    <w:p w14:paraId="7F0DBE47" w14:textId="77777777" w:rsidR="000875B1" w:rsidRDefault="000875B1" w:rsidP="000875B1">
      <w:r>
        <w:t xml:space="preserve">The FTC’s power as an agency that enforces privacy promises emerged in 2000 and has been growing ever since. In </w:t>
      </w:r>
      <w:proofErr w:type="gramStart"/>
      <w:r>
        <w:t>July 2000</w:t>
      </w:r>
      <w:proofErr w:type="gramEnd"/>
      <w:r>
        <w:t xml:space="preserve"> the FTC commenced an enforcement action against bankrupt online toy store Toysmart.com, LLC and Toysmart.com, Inc. (collectively, “</w:t>
      </w:r>
      <w:proofErr w:type="spellStart"/>
      <w:r>
        <w:t>Toysmart</w:t>
      </w:r>
      <w:proofErr w:type="spellEnd"/>
      <w:r>
        <w:t xml:space="preserve">”). The FTC was alerted when, in conjunction with its dissolution, </w:t>
      </w:r>
      <w:proofErr w:type="spellStart"/>
      <w:r>
        <w:t>Toysmart</w:t>
      </w:r>
      <w:proofErr w:type="spellEnd"/>
      <w:r>
        <w:t xml:space="preserve"> attempted to sell personal data collected via the Internet, even though the privacy policy posted at the time that data was collected assured customers that the information would never be shared with third parties. Specifically, the privacy policy contained this provision: “[P]</w:t>
      </w:r>
      <w:proofErr w:type="spellStart"/>
      <w:r>
        <w:t>ersonal</w:t>
      </w:r>
      <w:proofErr w:type="spellEnd"/>
      <w:r>
        <w:t xml:space="preserve"> Information, voluntarily submitted by visitors to our site, such as name, address, billing information and shopping preferences, is never shared with a third party.” The policy continued: “[W]</w:t>
      </w:r>
      <w:proofErr w:type="spellStart"/>
      <w:r>
        <w:t>hen</w:t>
      </w:r>
      <w:proofErr w:type="spellEnd"/>
      <w:r>
        <w:t xml:space="preserve"> you register with toysmart.com, you can rest assured that your information will never be shared with a third party.”</w:t>
      </w:r>
    </w:p>
    <w:p w14:paraId="4D49A5E0" w14:textId="77777777" w:rsidR="000875B1" w:rsidRDefault="000875B1" w:rsidP="000875B1">
      <w:r>
        <w:t xml:space="preserve">On May 22, 2000, </w:t>
      </w:r>
      <w:proofErr w:type="spellStart"/>
      <w:r>
        <w:t>Toysmart</w:t>
      </w:r>
      <w:proofErr w:type="spellEnd"/>
      <w:r>
        <w:t xml:space="preserve"> announced that it was closing its operations and selling its assets. Despite the assurances in </w:t>
      </w:r>
      <w:proofErr w:type="spellStart"/>
      <w:r>
        <w:t>Toysmart’s</w:t>
      </w:r>
      <w:proofErr w:type="spellEnd"/>
      <w:r>
        <w:t xml:space="preserve"> privacy policy, </w:t>
      </w:r>
      <w:proofErr w:type="spellStart"/>
      <w:r>
        <w:t>Toysmart</w:t>
      </w:r>
      <w:proofErr w:type="spellEnd"/>
      <w:r>
        <w:t xml:space="preserve"> offered personal data collected via its website as part of the assets it was selling. As a result of </w:t>
      </w:r>
      <w:proofErr w:type="spellStart"/>
      <w:r>
        <w:t>Toysmart’s</w:t>
      </w:r>
      <w:proofErr w:type="spellEnd"/>
      <w:r>
        <w:t xml:space="preserve"> actions, the FTC initiated an enforcement action against the company, charging that it had violated Section 5 of the FTC Act by misrepresenting to customers that personal data would never be shared with third parties and then disclosing, selling, and offering for sale that personal data in violation of the company’s stated privacy policy.</w:t>
      </w:r>
    </w:p>
    <w:p w14:paraId="1D6D546D" w14:textId="77777777" w:rsidR="000875B1" w:rsidRDefault="000875B1" w:rsidP="000875B1">
      <w:r>
        <w:lastRenderedPageBreak/>
        <w:t xml:space="preserve">This action eventually ended in a settlement, and </w:t>
      </w:r>
      <w:proofErr w:type="spellStart"/>
      <w:r>
        <w:t>Toysmart</w:t>
      </w:r>
      <w:proofErr w:type="spellEnd"/>
      <w:r>
        <w:t xml:space="preserve"> was prohibited from selling its customer list as a stand-alone asset. The settlement permitted </w:t>
      </w:r>
      <w:proofErr w:type="spellStart"/>
      <w:r>
        <w:t>Toysmart</w:t>
      </w:r>
      <w:proofErr w:type="spellEnd"/>
      <w:r>
        <w:t xml:space="preserve"> to sell such customer lists containing personal data only (1) as part of a package which included the entire website; (2) to an entity that was in a related market; and (3) to an entity that expressly agreed to be </w:t>
      </w:r>
      <w:proofErr w:type="spellStart"/>
      <w:r>
        <w:t>Toysmart’s</w:t>
      </w:r>
      <w:proofErr w:type="spellEnd"/>
      <w:r>
        <w:t xml:space="preserve"> successor-in-interest as to the personal data. Under the terms of the settlement, the buyer of </w:t>
      </w:r>
      <w:proofErr w:type="spellStart"/>
      <w:r>
        <w:t>Toysmart’s</w:t>
      </w:r>
      <w:proofErr w:type="spellEnd"/>
      <w:r>
        <w:t xml:space="preserve"> assets would have to agree to abide by </w:t>
      </w:r>
      <w:proofErr w:type="spellStart"/>
      <w:r>
        <w:t>Toysmart’s</w:t>
      </w:r>
      <w:proofErr w:type="spellEnd"/>
      <w:r>
        <w:t xml:space="preserve"> privacy policy and to obtain the affirmative consent (opt-in) of the data subjects prior to using their personal data in any manner that was inconsistent with </w:t>
      </w:r>
      <w:proofErr w:type="spellStart"/>
      <w:r>
        <w:t>Toysmart’s</w:t>
      </w:r>
      <w:proofErr w:type="spellEnd"/>
      <w:r>
        <w:t xml:space="preserve"> original privacy policy.</w:t>
      </w:r>
    </w:p>
    <w:p w14:paraId="064C891B" w14:textId="77777777" w:rsidR="000875B1" w:rsidRDefault="000875B1" w:rsidP="000875B1">
      <w:proofErr w:type="spellStart"/>
      <w:r>
        <w:t>Toysmart’s</w:t>
      </w:r>
      <w:proofErr w:type="spellEnd"/>
      <w:r>
        <w:t xml:space="preserve"> difficulties with the FTC </w:t>
      </w:r>
      <w:proofErr w:type="gramStart"/>
      <w:r>
        <w:t>illustrate clearly</w:t>
      </w:r>
      <w:proofErr w:type="gramEnd"/>
      <w:r>
        <w:t xml:space="preserve"> the hazards of posting a privacy policy that is not completely accurate. For </w:t>
      </w:r>
      <w:proofErr w:type="spellStart"/>
      <w:r>
        <w:t>Toysmart</w:t>
      </w:r>
      <w:proofErr w:type="spellEnd"/>
      <w:r>
        <w:t xml:space="preserve">, as well as many other companies, personal data is a major asset. By drafting a privacy policy in a very restrictive manner, Toys-mart effectively limited its business plan and was not able to use one of its primary assets as it had intended. When the company attempted to transfer the personal </w:t>
      </w:r>
      <w:proofErr w:type="gramStart"/>
      <w:r>
        <w:t>data</w:t>
      </w:r>
      <w:proofErr w:type="gramEnd"/>
      <w:r>
        <w:t xml:space="preserve"> it had collected in contravention of its privacy policy, the FTC had prevented it from doing so.</w:t>
      </w:r>
    </w:p>
    <w:p w14:paraId="41348A6E" w14:textId="77777777" w:rsidR="000875B1" w:rsidRDefault="000875B1" w:rsidP="000875B1">
      <w:r>
        <w:t xml:space="preserve">Thereafter, a series of FTC enforcement actions demonstrated that the FTC had begun to place particular emphasis on enforcing data security assurances made in online privacy policies. In early 2001, pharmaceutical giant Eli Lilly became the subject of an FTC enforcement action </w:t>
      </w:r>
      <w:proofErr w:type="gramStart"/>
      <w:r>
        <w:t>as a result of</w:t>
      </w:r>
      <w:proofErr w:type="gramEnd"/>
      <w:r>
        <w:t xml:space="preserve"> the security guarantees made in its online privacy policy. Eli Lilly manufactures </w:t>
      </w:r>
      <w:proofErr w:type="gramStart"/>
      <w:r>
        <w:t>a number of</w:t>
      </w:r>
      <w:proofErr w:type="gramEnd"/>
      <w:r>
        <w:t xml:space="preserve"> pharmaceutical products, including the anti-depressant Prozac. In marketing Prozac, Lilly operates a Prozac website, through which it collects various personal data from visitors to the site. From March 2000 to June 2001, Eli Lilly offered a service called “Medi-Messenger” through its Prozac website, which enabled registered users to receive individualized email reminders from Lilly concerning their Prozac medication or other matters. On June 27, 2001, </w:t>
      </w:r>
      <w:r>
        <w:lastRenderedPageBreak/>
        <w:t>Lilly sent a form email message to subscribers to the service. The message included, in the “To:” entry line, the email addresses of every individual subscriber.</w:t>
      </w:r>
    </w:p>
    <w:p w14:paraId="17AF6B97" w14:textId="77777777" w:rsidR="000875B1" w:rsidRDefault="000875B1" w:rsidP="000875B1">
      <w:r>
        <w:t>The FTC commenced an action against Eli Lilly, alleging that it made false or misleading representations in the privacy policy for the Medi-Messenger service. The privacy policy posted on the website at the time the information was collected stated that Eli Lilly employed measures and took steps appropriate under the circumstances to maintain and protect the privacy and confidentiality of personal data obtained from or about consumers through the Prozac site. The FTC alleged that Lilly had not employed such measures or taken such steps. Further, it contended that Lilly failed to provide appropriate training for its employees regarding consumer privacy and information security; failed to provide appropriate oversight and assistance for the employee who sent out the email, an individual who had no prior experience in creating, testing, or implementing the computer program used; and failed to implement appropriate checks and controls on the process, such as reviewing the computer program with experienced personnel and testing the program internally before broadcasting the email.</w:t>
      </w:r>
    </w:p>
    <w:p w14:paraId="3FBF3A3A" w14:textId="77777777" w:rsidR="000875B1" w:rsidRDefault="000875B1" w:rsidP="000875B1">
      <w:r>
        <w:t>Eli Lilly eventually settled the matter with the FTC and signed a consent order containing provisions intended to prevent the company from engaging in similar acts and practices in the future. The consent order applies broadly to the collection of personal data from or about consumers in connection with the advertising, marketing, offering for sale, or sale of any pharmaceutical, medical, or other health-related product or service by Eli Lilly. It consists of six parts, but the most significant to the current discussion are Parts I and II. Part I prohibits misrepresentations regarding the extent to which Lilly maintains and protects the privacy or confidentiality of any personal data collected from or about consumers.</w:t>
      </w:r>
    </w:p>
    <w:p w14:paraId="262989A8" w14:textId="77777777" w:rsidR="000875B1" w:rsidRDefault="000875B1" w:rsidP="000875B1">
      <w:r>
        <w:lastRenderedPageBreak/>
        <w:t>Part II of the consent order requires Eli Lilly to implement a four-stage information security program to protect the confidentiality and security of consumers’ personal data and to protect it against unauthorized access, use, or disclosure. The four stages require Lilly to: (1) designate appropriate personnel to coordinate and oversee the program; (2) identify foreseeable risks to the security, confidentiality, and integrity of personal data, and to address these risks in each relevant area of its operations; (3) conduct an annual written review by qualified persons that monitors and documents compliance with the program, evaluates its effectiveness, and recommends changes to it; and (4) adjust the program in light of any findings and recommendations resulting from reviews or ongoing monitoring.</w:t>
      </w:r>
    </w:p>
    <w:p w14:paraId="5AB63821" w14:textId="77777777" w:rsidR="000875B1" w:rsidRDefault="000875B1" w:rsidP="000875B1">
      <w:r>
        <w:t xml:space="preserve">The FTC has also brought similar enforcement actions against software giant Microsoft and clothing manufacturer </w:t>
      </w:r>
      <w:proofErr w:type="gramStart"/>
      <w:r>
        <w:t>Guess?.</w:t>
      </w:r>
      <w:proofErr w:type="gramEnd"/>
      <w:r>
        <w:t xml:space="preserve"> The Guess? action marked the third time that the FTC settled an enforcement action against a company that allegedly made false assurances regarding the level of security it provided to individuals’ personal data. In this most recent case, the FTC alleged that the company failed to use reasonable or appropriate measures to protect consumer’s personal data and thereby exposed such consumers’ information to commonly known attacks by hackers, all in contravention with </w:t>
      </w:r>
      <w:proofErr w:type="spellStart"/>
      <w:r>
        <w:t>Guess?’s</w:t>
      </w:r>
      <w:proofErr w:type="spellEnd"/>
      <w:r>
        <w:t xml:space="preserve"> assurances that the data collected through its website would be protected. Guess? has sold clothing and accessories through its website (www.guess.com) since 1998. The FTC alleged that even though the site had been vulnerable to a number of commonly known web-based application attacks, </w:t>
      </w:r>
      <w:proofErr w:type="spellStart"/>
      <w:r>
        <w:t>Guess?’s</w:t>
      </w:r>
      <w:proofErr w:type="spellEnd"/>
      <w:r>
        <w:t xml:space="preserve"> online statements assured consumers that their</w:t>
      </w:r>
      <w:r>
        <w:t xml:space="preserve"> </w:t>
      </w:r>
      <w:r>
        <w:t xml:space="preserve">information would be protected. Specifically, according to the FTC, at the time the Guess? website was attacked, it contained the following statements: “This site has security measures in place to protect the loss, misuse and alteration of information under our control” and “All of your personal information, including your credit card information and sign-in password, are stored in </w:t>
      </w:r>
      <w:r>
        <w:lastRenderedPageBreak/>
        <w:t xml:space="preserve">an unreadable, encrypted format at all times.” The FTC alleged that, despite these assurances, Guess did not store consumer’s information in an unreadable, encrypted format </w:t>
      </w:r>
      <w:proofErr w:type="gramStart"/>
      <w:r>
        <w:t>at all times</w:t>
      </w:r>
      <w:proofErr w:type="gramEnd"/>
      <w:r>
        <w:t xml:space="preserve"> and, in fact, the security measures implemented by Guess failed to protect against Structured Query Language and other commonly known attacks.</w:t>
      </w:r>
    </w:p>
    <w:p w14:paraId="1B94392F" w14:textId="77777777" w:rsidR="000875B1" w:rsidRDefault="000875B1" w:rsidP="000875B1">
      <w:r>
        <w:t>The settlement agreement prohibits Guess from misrepresenting the degree to which it protects the security of personal information collected from consumers. It also requires Guess to establish and maintain a comprehensive data security program. Furthermore, Guess is also required to have its security program certified annually by an independent security professional.</w:t>
      </w:r>
    </w:p>
    <w:p w14:paraId="206288D5" w14:textId="77777777" w:rsidR="000875B1" w:rsidRDefault="000875B1" w:rsidP="000875B1">
      <w:r>
        <w:t>The FTC has also entered into a consent agreement with Petco Animal Supplies, Inc. (Petco) after alleging that Petco had engaged in deceptive trade practices by including various statements in its online privacy policy including:</w:t>
      </w:r>
    </w:p>
    <w:p w14:paraId="7F28152A" w14:textId="77777777" w:rsidR="000875B1" w:rsidRDefault="000875B1" w:rsidP="000875B1">
      <w:r>
        <w:t xml:space="preserve">At PETCO.com, protecting your information is our number one priority, and your personal information is strictly shielded from unauthorized access. Entering your credit card number via our secure server is completely safe. The server encrypts </w:t>
      </w:r>
      <w:proofErr w:type="gramStart"/>
      <w:r>
        <w:t>all of</w:t>
      </w:r>
      <w:proofErr w:type="gramEnd"/>
      <w:r>
        <w:t xml:space="preserve"> your information; no one except you can access it.</w:t>
      </w:r>
    </w:p>
    <w:p w14:paraId="3FC0D888" w14:textId="77777777" w:rsidR="000875B1" w:rsidRDefault="000875B1" w:rsidP="000875B1">
      <w:r>
        <w:t xml:space="preserve">According to the FTC, these statements were a deceptive trade practice because Petco was unable to completely protect the data it received from its computer servers. The FTC settlement prohibits Petco from misrepresenting the extent to which it maintains and protects sensitive consumer </w:t>
      </w:r>
      <w:proofErr w:type="gramStart"/>
      <w:r>
        <w:t>information, and</w:t>
      </w:r>
      <w:proofErr w:type="gramEnd"/>
      <w:r>
        <w:t xml:space="preserve"> requires the company to establish and maintain a comprehensive information security program and arrange biennial audits of that program by an independent third party. The settlement also contains recordkeeping provisions to allow the FTC to monitor compliance.</w:t>
      </w:r>
    </w:p>
    <w:p w14:paraId="643F9F03" w14:textId="77777777" w:rsidR="000875B1" w:rsidRDefault="000875B1" w:rsidP="000875B1">
      <w:r>
        <w:lastRenderedPageBreak/>
        <w:t xml:space="preserve">The FTC has also targeted Gateway Learning Corporation (Gateway), alleging that the company had engaged in unfair and deceptive trade practices by sharing customer information collected—after explicitly promising on </w:t>
      </w:r>
      <w:proofErr w:type="spellStart"/>
      <w:proofErr w:type="gramStart"/>
      <w:r>
        <w:t>it’s</w:t>
      </w:r>
      <w:proofErr w:type="spellEnd"/>
      <w:proofErr w:type="gramEnd"/>
      <w:r>
        <w:t xml:space="preserve"> website not to do so. Initially the Gateway privacy policy </w:t>
      </w:r>
      <w:proofErr w:type="gramStart"/>
      <w:r>
        <w:t>stated</w:t>
      </w:r>
      <w:proofErr w:type="gramEnd"/>
      <w:r>
        <w:t xml:space="preserve"> “We do not sell, rent or loan any personally identifiable information regarding our consumers with any third party unless we receive customer’s explicit consent.” Gateway then decided to sell customer information collected on its </w:t>
      </w:r>
      <w:proofErr w:type="gramStart"/>
      <w:r>
        <w:t>website, and</w:t>
      </w:r>
      <w:proofErr w:type="gramEnd"/>
      <w:r>
        <w:t xml:space="preserve"> altered its privacy policy to state that “from time to time” Gateway would provide consumers’ personal information to “reputable companies” whose products or services consumers might find of interest.</w:t>
      </w:r>
    </w:p>
    <w:p w14:paraId="77C42C79" w14:textId="77777777" w:rsidR="000875B1" w:rsidRDefault="000875B1" w:rsidP="000875B1">
      <w:r>
        <w:t>The FTC charged that: (1) Gateway’s claims that it would not sell, rent, or loan to third parties consumers’ personal information unless it received the consumers’ consent, and that it would never share information about children, were false; (2) Gateway’s retroactive application of a materially changed privacy policy to information it had previously collected from consumers was an unfair practice; and (3) Gateway’s failure to notify consumers of the changes to its privacy policy and practices, as promised in the original policy, was a deceptive practice. The two parties settled, and the agreement bars misrepresentations about how Gateway will use data it collects from consumers and prohibits the company from sharing any personal information collected from consumers on its website under the earlier privacy policy, unless it first obtains “opt-in” consent from consumers. It also prohibits Gateway from applying future material changes to its privacy policy retroactively without consumers’ consent and requires Gateway to give up the $4,608 it earned from renting consumers’ information.</w:t>
      </w:r>
    </w:p>
    <w:p w14:paraId="3BEB1DDC" w14:textId="77777777" w:rsidR="000875B1" w:rsidRDefault="000875B1" w:rsidP="000875B1">
      <w:r>
        <w:t xml:space="preserve">In April 2005, the FTC settled charges against BJ’s Wholesale Club (BJ’s), after alleging that the company’s computer network, used to obtain bank authorization for credit and debit card purchases and to track inventory, was not secure enough. For credit and debit card purchases at </w:t>
      </w:r>
      <w:r>
        <w:lastRenderedPageBreak/>
        <w:t xml:space="preserve">its stores, BJ’s collects information—such as name, card number, and expiration date—from the magnetic strip on the back of the cards. The information is sent from the computer network in the store to BJ’s central datacenter computer network and from there through outside computer networks to the bank that issued the card. The FTC charged that BJ’s engaged in </w:t>
      </w:r>
      <w:proofErr w:type="gramStart"/>
      <w:r>
        <w:t>a number of</w:t>
      </w:r>
      <w:proofErr w:type="gramEnd"/>
      <w:r>
        <w:t xml:space="preserve"> practices which, taken together, did not provide reasonable security for sensitive customer information.</w:t>
      </w:r>
    </w:p>
    <w:p w14:paraId="3582E066" w14:textId="45E55D29" w:rsidR="000875B1" w:rsidRDefault="000875B1" w:rsidP="000875B1">
      <w:r>
        <w:t>These practices included: (a) BJ’s failure to encrypt consumer information when it was transmitted or stored on computers in its stores; (b) BJ’s creation of unnecessary risks to the information by storing it for up to 30 days, and (c) storing the information in files that could be accessed using commonly known default user IDs and passwords. The settlement requires BJ’s to establish and maintain a comprehensive information security program that includes administrative, technical, and physical safeguards. The settlement also requires BJ’s to obtain an audit from a qualified, independent, third-party professional that its security program meets the standards of the order and to comply with standard bookkeeping and recordkeeping provisions.</w:t>
      </w:r>
    </w:p>
    <w:p w14:paraId="2D32BD9F" w14:textId="019B150A" w:rsidR="00E94641" w:rsidRPr="000875B1" w:rsidRDefault="000875B1" w:rsidP="000875B1">
      <w:pPr>
        <w:jc w:val="center"/>
        <w:rPr>
          <w:b/>
          <w:bCs/>
        </w:rPr>
      </w:pPr>
      <w:r w:rsidRPr="000875B1">
        <w:rPr>
          <w:b/>
          <w:bCs/>
        </w:rPr>
        <w:t>Chapter 13</w:t>
      </w:r>
    </w:p>
    <w:p w14:paraId="2E12F0FD" w14:textId="77777777" w:rsidR="000875B1" w:rsidRDefault="000875B1" w:rsidP="000875B1">
      <w:r>
        <w:t>Fraud and Identity Theft</w:t>
      </w:r>
    </w:p>
    <w:p w14:paraId="27B3D4A8" w14:textId="77777777" w:rsidR="000875B1" w:rsidRDefault="000875B1" w:rsidP="000875B1">
      <w:proofErr w:type="spellStart"/>
      <w:r>
        <w:t>Cyberfraud</w:t>
      </w:r>
      <w:proofErr w:type="spellEnd"/>
      <w:r>
        <w:t xml:space="preserve"> is the use of the Internet, a computer, or a computer device or network to convey false or fraudulent information, to offer for sale to consumers goods or services that do not exist or are different than what is advertised, or to unlawfully transmit another’s money, access devices, or other valuables to another’s control.</w:t>
      </w:r>
    </w:p>
    <w:p w14:paraId="38F1F418" w14:textId="77777777" w:rsidR="000875B1" w:rsidRDefault="000875B1" w:rsidP="000875B1">
      <w:r>
        <w:t>In 2002, the U.S. Internet Crime Complaint Center reported that U.S. individuals and businesses lost over $54 million dollars through Internet fraud schemes; annual losses increased each year to $125 million in 2003, approximately $200 million in 2006, and nearly $250 million in 2008.4</w:t>
      </w:r>
    </w:p>
    <w:p w14:paraId="352E0600" w14:textId="77777777" w:rsidR="000875B1" w:rsidRDefault="000875B1" w:rsidP="000875B1">
      <w:r>
        <w:lastRenderedPageBreak/>
        <w:t xml:space="preserve">An example of </w:t>
      </w:r>
      <w:proofErr w:type="spellStart"/>
      <w:r>
        <w:t>cyberfraud</w:t>
      </w:r>
      <w:proofErr w:type="spellEnd"/>
      <w:r>
        <w:t xml:space="preserve"> is identity theft. Stealing one’s “identity”—for example, credit card information or a Social Security number—does not require the Internet or a computer; among the types of identity theft the Federal Trade Commission (FTC) lists on its identity theft website are “old-fashioned stealing,” that is, taking a purse or wallet to obtain checks or other valuable papers and information, and “dumpster diving,” which is going through a person’s disposed-of trash to find such information. But identity theft has increased dramatically since the advent of the Internet, with victims of identity theft numbering nine million annually in the United States.5</w:t>
      </w:r>
    </w:p>
    <w:p w14:paraId="41A8FA34" w14:textId="77777777" w:rsidR="000875B1" w:rsidRDefault="000875B1" w:rsidP="000875B1">
      <w:r>
        <w:t xml:space="preserve">Cybercriminals use tactics such as pharming, spoofing, phishing, </w:t>
      </w:r>
      <w:proofErr w:type="spellStart"/>
      <w:r>
        <w:t>malvertising</w:t>
      </w:r>
      <w:proofErr w:type="spellEnd"/>
      <w:r>
        <w:t>, and pretexting to commit identity theft.</w:t>
      </w:r>
    </w:p>
    <w:p w14:paraId="0A936C51" w14:textId="77777777" w:rsidR="000875B1" w:rsidRDefault="000875B1" w:rsidP="000875B1">
      <w:r>
        <w:t xml:space="preserve">Pharming is the term for a perpetrator’s redirection of Internet traffic from one website to another. The second website appears to be identical to the legitimate site. The user is tricked into entering his or her </w:t>
      </w:r>
      <w:proofErr w:type="gramStart"/>
      <w:r>
        <w:t>user name</w:t>
      </w:r>
      <w:proofErr w:type="gramEnd"/>
      <w:r>
        <w:t xml:space="preserve"> and password into the fake site, setting him or her up for financial or identity theft. The user has no idea that the redirection has occurred and has not consented to visiting the fake site. There are two primary mechanisms for pharming: altering the host file on the victim’s computer by use of implanted software or exploiting a vulnerability in DNS servers, previously called “DNS Cache Poisoning.”6</w:t>
      </w:r>
    </w:p>
    <w:p w14:paraId="54AF2795" w14:textId="77777777" w:rsidR="000875B1" w:rsidRDefault="000875B1" w:rsidP="000875B1">
      <w:r>
        <w:t xml:space="preserve">Spoofing takes various forms, including email spoofing. Email spoofing, IP spoofing, or IP address spoofing is making an email appear to be sent from one source when it </w:t>
      </w:r>
      <w:proofErr w:type="gramStart"/>
      <w:r>
        <w:t>actually was</w:t>
      </w:r>
      <w:proofErr w:type="gramEnd"/>
      <w:r>
        <w:t xml:space="preserve"> sent from another source—effectively concealing the identity of the sender or impersonating another computing system. The user thinks the email has come from a trusted source. The actual sender falsifies the routing information, making it appear to come from a legitimate, trusted user’s account. The user’s reply to a spoofed email goes directly to the legitimate email account (not </w:t>
      </w:r>
      <w:r>
        <w:lastRenderedPageBreak/>
        <w:t>the sender who has spoofed the email). Similarly, forging an email header to make it appear that it came from a legitimate, trusted source.</w:t>
      </w:r>
    </w:p>
    <w:p w14:paraId="5E8E55E5" w14:textId="77777777" w:rsidR="000875B1" w:rsidRDefault="000875B1" w:rsidP="000875B1">
      <w:r>
        <w:t xml:space="preserve">Phishing, a form of spoofing, occurs when a cybercriminal poses as a financial institution and sends email messages to consumers requesting that they click on a link to “verify” their account. The Internet user receives an email message that appears to be a legitimate message from a reputable company, asking the user to reply with an update of his or her credit card information. The message lures the user to click on a link that </w:t>
      </w:r>
      <w:proofErr w:type="gramStart"/>
      <w:r>
        <w:t>actually sends</w:t>
      </w:r>
      <w:proofErr w:type="gramEnd"/>
      <w:r>
        <w:t xml:space="preserve"> the user to a fake website where the user provides the credit card information, along with other personal information such as date of birth, address, site password, and Social Security number. Provision of such personal information to a bogus site makes the user vulnerable to identity theft. Phishing is also called “brand spoofing.” “Puddle phishing” means phishing that specifically targets a small company, such as a local or community bank.</w:t>
      </w:r>
    </w:p>
    <w:p w14:paraId="15821912" w14:textId="77777777" w:rsidR="000875B1" w:rsidRDefault="000875B1" w:rsidP="000875B1">
      <w:r>
        <w:t>Spear phishing is even more invasive. When spear phishing, the “phisher” poses as someone the email message recipient knows and targets the recipient particularly. Spear phishing is even harder to detect than generalized phishing because the bogus email message and website almost perfectly replicate the legitimate sender and site.</w:t>
      </w:r>
    </w:p>
    <w:p w14:paraId="3B088A13" w14:textId="77777777" w:rsidR="000875B1" w:rsidRDefault="000875B1" w:rsidP="000875B1">
      <w:r>
        <w:t xml:space="preserve">Maladaptive gangs are groups of scammers who pose as legitimate advertisers </w:t>
      </w:r>
      <w:proofErr w:type="gramStart"/>
      <w:r>
        <w:t>in order to</w:t>
      </w:r>
      <w:proofErr w:type="gramEnd"/>
      <w:r>
        <w:t xml:space="preserve"> infiltrate the complex system of nearly 100 ad networks, such as Google’s AdSense, that distribute ads to websites all across the Internet.</w:t>
      </w:r>
    </w:p>
    <w:p w14:paraId="51A5E021" w14:textId="77777777" w:rsidR="000875B1" w:rsidRDefault="000875B1" w:rsidP="000875B1">
      <w:proofErr w:type="spellStart"/>
      <w:r>
        <w:t>Malvertising</w:t>
      </w:r>
      <w:proofErr w:type="spellEnd"/>
      <w:r>
        <w:t xml:space="preserve"> is a term for malicious or fraudulent content camouflaged as a run-of-the-mill advertisement:</w:t>
      </w:r>
    </w:p>
    <w:p w14:paraId="63943B09" w14:textId="77777777" w:rsidR="000875B1" w:rsidRDefault="000875B1" w:rsidP="000875B1">
      <w:r>
        <w:t>[M]</w:t>
      </w:r>
      <w:proofErr w:type="spellStart"/>
      <w:r>
        <w:t>alvertising</w:t>
      </w:r>
      <w:proofErr w:type="spellEnd"/>
      <w:r>
        <w:t xml:space="preserve"> works by camouflaging malicious code as harmless online advertisements. These ads then lead to harmful or deceptive content. For example, ads may redirect users to a website </w:t>
      </w:r>
      <w:r>
        <w:lastRenderedPageBreak/>
        <w:t xml:space="preserve">that advertises rogue security software, also known as scareware, that falsely claims to detect or prevent threats on the computer. </w:t>
      </w:r>
      <w:proofErr w:type="spellStart"/>
      <w:r>
        <w:t>Malvertising</w:t>
      </w:r>
      <w:proofErr w:type="spellEnd"/>
      <w:r>
        <w:t xml:space="preserve"> may also directly infect a victim’s computer with malicious software like Trojans—programs that can damage data, steal personal </w:t>
      </w:r>
      <w:proofErr w:type="gramStart"/>
      <w:r>
        <w:t>information</w:t>
      </w:r>
      <w:proofErr w:type="gramEnd"/>
      <w:r>
        <w:t xml:space="preserve"> or even bring the users’ computer under the control of a remote operator.7</w:t>
      </w:r>
    </w:p>
    <w:p w14:paraId="48A9BB6F" w14:textId="77777777" w:rsidR="000875B1" w:rsidRDefault="000875B1" w:rsidP="000875B1">
      <w:r>
        <w:t xml:space="preserve">Pretexting is the crime of obtaining personal information through impersonating someone. In 2007, Congress passes the Telephone Records and Privacy Protection Act or the “Telco Privacy Act.” The Act makes it a federal offense to </w:t>
      </w:r>
      <w:proofErr w:type="gramStart"/>
      <w:r>
        <w:t>knowingly and intentionally obtain</w:t>
      </w:r>
      <w:proofErr w:type="gramEnd"/>
      <w:r>
        <w:t>, purchase, sell, transfer, or receive confidential phone records by way of false or fraudulent statements or representations.</w:t>
      </w:r>
    </w:p>
    <w:p w14:paraId="32887222" w14:textId="77777777" w:rsidR="000875B1" w:rsidRDefault="000875B1" w:rsidP="000875B1">
      <w:r>
        <w:t xml:space="preserve">The Nigerian, or “419,” scam—419 refers to the section of Nigerian law that the scam violates—is another crime furthered by traditional mail that has become increasingly problematic when facilitated by the Internet. Under the 419 </w:t>
      </w:r>
      <w:proofErr w:type="gramStart"/>
      <w:r>
        <w:t>scheme</w:t>
      </w:r>
      <w:proofErr w:type="gramEnd"/>
      <w:r>
        <w:t>, an individual receives an email asserting that the sender needs help transferring a large sum of money out of Nigeria or another foreign country. The money can be in the form of cash or an asset such as oil. The sender asks the recipient to cover some of the cost of moving the funds out of the country, in return for future receipt of a much larger sum of money. After the recipient of the email sends a check or money order, the sender contacts him or her again to say that there have been “complications” in finalizing the movement of the funds; the victim ultimately loses the hundreds or even thousands of dollars advanced under the scam.</w:t>
      </w:r>
    </w:p>
    <w:p w14:paraId="378F4FE7" w14:textId="77777777" w:rsidR="000875B1" w:rsidRDefault="000875B1" w:rsidP="000875B1">
      <w:r>
        <w:t xml:space="preserve">In the United States, most of the </w:t>
      </w:r>
      <w:proofErr w:type="spellStart"/>
      <w:r>
        <w:t>cyberfraud</w:t>
      </w:r>
      <w:proofErr w:type="spellEnd"/>
      <w:r>
        <w:t xml:space="preserve"> committed is in the form of online auctions.8 In fraudulent online auctions, the bidder sends money to the seller in advance of delivery of the item purchased, only to never receive the item.</w:t>
      </w:r>
    </w:p>
    <w:p w14:paraId="0FF92AAF" w14:textId="77777777" w:rsidR="000875B1" w:rsidRDefault="000875B1" w:rsidP="000875B1">
      <w:r>
        <w:lastRenderedPageBreak/>
        <w:t>Clearly, identity theft in any form can be devastating for the individual victim whose information is taken and used for ill. Businesses often overlook that they, too, can become victims of such fraud. When a cybercriminal poses as the legitimate business and steals a user’s information, the legitimate business is harmed. Similarly, a noncriminal loss or compromise of the business’ consumer information can harm the business in that consumers who think the business has not protected their information adequately will take their business elsewhere.</w:t>
      </w:r>
    </w:p>
    <w:p w14:paraId="64E74647" w14:textId="77777777" w:rsidR="000875B1" w:rsidRDefault="000875B1" w:rsidP="000875B1">
      <w:r>
        <w:t>The FTC provides detailed information about the steps a business should take if its information has been compromised. Compromise of personally identifying information the business holds necessarily puts individuals at risk for identity theft. First, the business should contact local law enforcement immediately if there is any risk that the information compromise could result in harm to an individual or another business. If the local police are not familiar with addressing this type of cybercrime, the business should contact the local office of the Federal Bureau of Investigation (FBI) or the U.S. Secret Service. Second, if the business has lost account numbers from another business, bank, or credit issuer, the business should contact that other business so that it can monitor account activity. Conversely, if the business monitors account information for other businesses, those other businesses should be notified of an information compromise. Third, if the information loss includes names and Social Security numbers, the business should contact the leading credit bureaus—Equifax, Experian, and TransUnion—especially if notice to individuals will include a recommendation that they request fraud alerts for their files. Fourth, if someone in the company caused the information compromise by improperly posting personal information on the company’s website, the business should immediately remove the information and contact the search engines to ensure that they do not archive personal information that the business’ employee erroneously posted.</w:t>
      </w:r>
    </w:p>
    <w:p w14:paraId="177FEF4E" w14:textId="77777777" w:rsidR="000875B1" w:rsidRDefault="000875B1" w:rsidP="000875B1">
      <w:r>
        <w:lastRenderedPageBreak/>
        <w:t>Finally, the business must notify, as early as possible, the individuals whose personal information was compromised. Immediate notification allows them to mitigate the misuse of the information. The FTC recommends that when the business makes the determination whether notification is warranted, it should consider the nature of the compromise, the type of information that was lost or taken, the likelihood of misuse of the information, and the potential damage that could arise from misuse. When notifying individuals, the FTC recommends that the business:</w:t>
      </w:r>
    </w:p>
    <w:p w14:paraId="4E8E1639" w14:textId="045FE7C4" w:rsidR="000875B1" w:rsidRDefault="000875B1" w:rsidP="000875B1">
      <w:r>
        <w:t xml:space="preserve">• consult with law enforcement about the timing of the notification so it does not impede the official investigation into the </w:t>
      </w:r>
      <w:proofErr w:type="gramStart"/>
      <w:r>
        <w:t>compromise;</w:t>
      </w:r>
      <w:proofErr w:type="gramEnd"/>
    </w:p>
    <w:p w14:paraId="103E3445" w14:textId="77777777" w:rsidR="000875B1" w:rsidRDefault="000875B1" w:rsidP="000875B1">
      <w:r>
        <w:t xml:space="preserve">designate a contact person within the company who will have up-to-date information about the breach, the company’s official response, and how individuals should respond, including a website address and/or toll-free </w:t>
      </w:r>
      <w:proofErr w:type="gramStart"/>
      <w:r>
        <w:t>number;</w:t>
      </w:r>
      <w:proofErr w:type="gramEnd"/>
    </w:p>
    <w:p w14:paraId="3D67F729" w14:textId="77777777" w:rsidR="000875B1" w:rsidRDefault="000875B1" w:rsidP="000875B1">
      <w:r>
        <w:t>• describe clearly and truthfully what the company knows about the compromise, including how it happened, what information was taken, how the thieves are using the information (if known), and what actions the company has taken already to remedy the situation</w:t>
      </w:r>
    </w:p>
    <w:p w14:paraId="5881AD4B" w14:textId="77777777" w:rsidR="000875B1" w:rsidRDefault="000875B1" w:rsidP="000875B1">
      <w:r>
        <w:t xml:space="preserve">• explain how to reach the contact person in the company, as well as the law </w:t>
      </w:r>
      <w:proofErr w:type="spellStart"/>
      <w:r>
        <w:t>en</w:t>
      </w:r>
      <w:proofErr w:type="spellEnd"/>
      <w:r>
        <w:t xml:space="preserve"> </w:t>
      </w:r>
      <w:proofErr w:type="spellStart"/>
      <w:r>
        <w:t>forcement</w:t>
      </w:r>
      <w:proofErr w:type="spellEnd"/>
      <w:r>
        <w:t xml:space="preserve"> contact </w:t>
      </w:r>
      <w:proofErr w:type="gramStart"/>
      <w:r>
        <w:t>person;</w:t>
      </w:r>
      <w:proofErr w:type="gramEnd"/>
    </w:p>
    <w:p w14:paraId="01E20871" w14:textId="77777777" w:rsidR="000875B1" w:rsidRDefault="000875B1" w:rsidP="000875B1">
      <w:r>
        <w:t xml:space="preserve">• provide FTC information that could be useful to </w:t>
      </w:r>
      <w:proofErr w:type="gramStart"/>
      <w:r>
        <w:t>individuals;</w:t>
      </w:r>
      <w:proofErr w:type="gramEnd"/>
    </w:p>
    <w:p w14:paraId="576A83A2" w14:textId="77777777" w:rsidR="000875B1" w:rsidRDefault="000875B1" w:rsidP="000875B1">
      <w:r>
        <w:t>• encourage individuals whose information has been misused to file a complaint with the FTC at www.ftc.gov/idtheft or at 1-877-ID-THEFT (877-438-4338).</w:t>
      </w:r>
    </w:p>
    <w:p w14:paraId="2C48BA9E" w14:textId="77777777" w:rsidR="000875B1" w:rsidRDefault="000875B1" w:rsidP="000875B1">
      <w:r>
        <w:t>The FTC also provides businesses with a model letter to send to customers whose information was compromised by an attack on the company.9</w:t>
      </w:r>
    </w:p>
    <w:p w14:paraId="6E4B0A7D" w14:textId="7D2C04EE" w:rsidR="000875B1" w:rsidRDefault="000875B1" w:rsidP="000875B1">
      <w:r>
        <w:lastRenderedPageBreak/>
        <w:t xml:space="preserve">Other types of </w:t>
      </w:r>
      <w:proofErr w:type="spellStart"/>
      <w:r>
        <w:t>cyberfraud</w:t>
      </w:r>
      <w:proofErr w:type="spellEnd"/>
      <w:r>
        <w:t xml:space="preserve"> include scams by Internet Service Providers (ISPs), pyramid scams, “web cramming,” investment scams, business-opportunity scams, and telephone solicitation scams through computer-dialers. Finally, computers now can facilitate various aspects of money laundering, traditionally an offline crime, such as using digital money to move funds through wire transfers.</w:t>
      </w:r>
    </w:p>
    <w:sectPr w:rsidR="00087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D54DA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9C6C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05867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630D37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C6A1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5E72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506D5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3818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27A6B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CE56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403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5A2B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0D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72E172A"/>
    <w:multiLevelType w:val="multilevel"/>
    <w:tmpl w:val="06707A1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0"/>
  </w:num>
  <w:num w:numId="3">
    <w:abstractNumId w:val="13"/>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5B1"/>
    <w:rsid w:val="000005E5"/>
    <w:rsid w:val="000875B1"/>
    <w:rsid w:val="00442B3C"/>
    <w:rsid w:val="00D87780"/>
    <w:rsid w:val="00E94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9AD72"/>
  <w15:chartTrackingRefBased/>
  <w15:docId w15:val="{D2A1FF91-ACEA-472B-A845-B96B2441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B3C"/>
  </w:style>
  <w:style w:type="paragraph" w:styleId="Heading1">
    <w:name w:val="heading 1"/>
    <w:basedOn w:val="Normal"/>
    <w:next w:val="Normal"/>
    <w:link w:val="Heading1Char"/>
    <w:uiPriority w:val="9"/>
    <w:qFormat/>
    <w:rsid w:val="00442B3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42B3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42B3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42B3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42B3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42B3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42B3C"/>
    <w:pPr>
      <w:spacing w:before="240" w:after="60"/>
      <w:outlineLvl w:val="6"/>
    </w:pPr>
  </w:style>
  <w:style w:type="paragraph" w:styleId="Heading8">
    <w:name w:val="heading 8"/>
    <w:basedOn w:val="Normal"/>
    <w:next w:val="Normal"/>
    <w:link w:val="Heading8Char"/>
    <w:uiPriority w:val="9"/>
    <w:semiHidden/>
    <w:unhideWhenUsed/>
    <w:qFormat/>
    <w:rsid w:val="00442B3C"/>
    <w:pPr>
      <w:spacing w:before="240" w:after="60"/>
      <w:outlineLvl w:val="7"/>
    </w:pPr>
    <w:rPr>
      <w:i/>
      <w:iCs/>
    </w:rPr>
  </w:style>
  <w:style w:type="paragraph" w:styleId="Heading9">
    <w:name w:val="heading 9"/>
    <w:basedOn w:val="Normal"/>
    <w:next w:val="Normal"/>
    <w:link w:val="Heading9Char"/>
    <w:uiPriority w:val="9"/>
    <w:semiHidden/>
    <w:unhideWhenUsed/>
    <w:qFormat/>
    <w:rsid w:val="00442B3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rPr>
  </w:style>
  <w:style w:type="paragraph" w:styleId="Title">
    <w:name w:val="Title"/>
    <w:basedOn w:val="Normal"/>
    <w:next w:val="Normal"/>
    <w:link w:val="TitleChar"/>
    <w:uiPriority w:val="10"/>
    <w:qFormat/>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Pr>
      <w:rFonts w:asciiTheme="majorHAnsi" w:eastAsiaTheme="majorEastAsia" w:hAnsiTheme="majorHAnsi"/>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rFonts w:asciiTheme="minorHAnsi" w:hAnsiTheme="minorHAnsi"/>
      <w:b/>
      <w:i/>
      <w:iCs/>
    </w:rPr>
  </w:style>
  <w:style w:type="paragraph" w:styleId="NoSpacing">
    <w:name w:val="No Spacing"/>
    <w:basedOn w:val="Normal"/>
    <w:uiPriority w:val="1"/>
    <w:qFormat/>
    <w:rPr>
      <w:szCs w:val="32"/>
    </w:rPr>
  </w:style>
  <w:style w:type="paragraph" w:styleId="Quote">
    <w:name w:val="Quote"/>
    <w:basedOn w:val="Normal"/>
    <w:next w:val="Normal"/>
    <w:link w:val="QuoteChar"/>
    <w:uiPriority w:val="29"/>
    <w:qFormat/>
    <w:rPr>
      <w:i/>
    </w:rPr>
  </w:style>
  <w:style w:type="character" w:customStyle="1" w:styleId="QuoteChar">
    <w:name w:val="Quote Char"/>
    <w:basedOn w:val="DefaultParagraphFont"/>
    <w:link w:val="Quote"/>
    <w:uiPriority w:val="29"/>
    <w:rPr>
      <w:i/>
      <w:sz w:val="24"/>
      <w:szCs w:val="24"/>
    </w:rPr>
  </w:style>
  <w:style w:type="paragraph" w:styleId="IntenseQuote">
    <w:name w:val="Intense Quote"/>
    <w:basedOn w:val="Normal"/>
    <w:next w:val="Normal"/>
    <w:link w:val="IntenseQuoteChar"/>
    <w:uiPriority w:val="30"/>
    <w:qFormat/>
    <w:pPr>
      <w:ind w:left="720" w:right="720"/>
    </w:pPr>
    <w:rPr>
      <w:b/>
      <w:i/>
      <w:szCs w:val="22"/>
    </w:rPr>
  </w:style>
  <w:style w:type="character" w:customStyle="1" w:styleId="IntenseQuoteChar">
    <w:name w:val="Intense Quote Char"/>
    <w:basedOn w:val="DefaultParagraphFont"/>
    <w:link w:val="IntenseQuote"/>
    <w:uiPriority w:val="30"/>
    <w:rPr>
      <w:b/>
      <w:i/>
      <w:sz w:val="24"/>
    </w:rPr>
  </w:style>
  <w:style w:type="character" w:styleId="SubtleEmphasis">
    <w:name w:val="Subtle Emphasis"/>
    <w:uiPriority w:val="19"/>
    <w:qFormat/>
    <w:rPr>
      <w:i/>
      <w:color w:val="5A5A5A" w:themeColor="text1" w:themeTint="A5"/>
    </w:rPr>
  </w:style>
  <w:style w:type="character" w:styleId="IntenseEmphasis">
    <w:name w:val="Intense Emphasis"/>
    <w:basedOn w:val="DefaultParagraphFont"/>
    <w:uiPriority w:val="21"/>
    <w:qFormat/>
    <w:rPr>
      <w:b/>
      <w:i/>
      <w:sz w:val="24"/>
      <w:szCs w:val="24"/>
      <w:u w:val="single"/>
    </w:rPr>
  </w:style>
  <w:style w:type="character" w:styleId="SubtleReference">
    <w:name w:val="Subtle Reference"/>
    <w:basedOn w:val="DefaultParagraphFont"/>
    <w:uiPriority w:val="31"/>
    <w:qFormat/>
    <w:rPr>
      <w:sz w:val="24"/>
      <w:szCs w:val="24"/>
      <w:u w:val="single"/>
    </w:rPr>
  </w:style>
  <w:style w:type="character" w:styleId="IntenseReference">
    <w:name w:val="Intense Reference"/>
    <w:basedOn w:val="DefaultParagraphFont"/>
    <w:uiPriority w:val="32"/>
    <w:qFormat/>
    <w:rPr>
      <w:b/>
      <w:sz w:val="24"/>
      <w:u w:val="single"/>
    </w:rPr>
  </w:style>
  <w:style w:type="character" w:styleId="BookTitle">
    <w:name w:val="Book Title"/>
    <w:basedOn w:val="DefaultParagraphFont"/>
    <w:uiPriority w:val="33"/>
    <w:qFormat/>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pPr>
      <w:outlineLvl w:val="9"/>
    </w:pPr>
  </w:style>
  <w:style w:type="paragraph" w:styleId="Caption">
    <w:name w:val="caption"/>
    <w:basedOn w:val="Normal"/>
    <w:next w:val="Normal"/>
    <w:uiPriority w:val="35"/>
    <w:semiHidden/>
    <w:unhideWhenUsed/>
    <w:rsid w:val="000005E5"/>
    <w:pPr>
      <w:spacing w:after="200" w:line="240" w:lineRule="auto"/>
    </w:pPr>
    <w:rPr>
      <w:i/>
      <w:iCs/>
      <w:color w:val="6E747A" w:themeColor="text2"/>
      <w:sz w:val="22"/>
      <w:szCs w:val="18"/>
    </w:rPr>
  </w:style>
  <w:style w:type="paragraph" w:styleId="BalloonText">
    <w:name w:val="Balloon Text"/>
    <w:basedOn w:val="Normal"/>
    <w:link w:val="BalloonTextChar"/>
    <w:uiPriority w:val="99"/>
    <w:semiHidden/>
    <w:unhideWhenUsed/>
    <w:rsid w:val="000005E5"/>
    <w:pPr>
      <w:spacing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005E5"/>
    <w:rPr>
      <w:rFonts w:ascii="Segoe UI" w:hAnsi="Segoe UI" w:cs="Segoe UI"/>
      <w:sz w:val="22"/>
      <w:szCs w:val="18"/>
    </w:rPr>
  </w:style>
  <w:style w:type="paragraph" w:styleId="BodyText3">
    <w:name w:val="Body Text 3"/>
    <w:basedOn w:val="Normal"/>
    <w:link w:val="BodyText3Char"/>
    <w:uiPriority w:val="99"/>
    <w:semiHidden/>
    <w:unhideWhenUsed/>
    <w:rsid w:val="000005E5"/>
    <w:pPr>
      <w:spacing w:after="120"/>
    </w:pPr>
    <w:rPr>
      <w:sz w:val="22"/>
      <w:szCs w:val="16"/>
    </w:rPr>
  </w:style>
  <w:style w:type="character" w:customStyle="1" w:styleId="BodyText3Char">
    <w:name w:val="Body Text 3 Char"/>
    <w:basedOn w:val="DefaultParagraphFont"/>
    <w:link w:val="BodyText3"/>
    <w:uiPriority w:val="99"/>
    <w:semiHidden/>
    <w:rsid w:val="000005E5"/>
    <w:rPr>
      <w:sz w:val="22"/>
      <w:szCs w:val="16"/>
    </w:rPr>
  </w:style>
  <w:style w:type="paragraph" w:styleId="BodyTextIndent3">
    <w:name w:val="Body Text Indent 3"/>
    <w:basedOn w:val="Normal"/>
    <w:link w:val="BodyTextIndent3Char"/>
    <w:uiPriority w:val="99"/>
    <w:semiHidden/>
    <w:unhideWhenUsed/>
    <w:rsid w:val="000005E5"/>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0005E5"/>
    <w:rPr>
      <w:sz w:val="22"/>
      <w:szCs w:val="16"/>
    </w:rPr>
  </w:style>
  <w:style w:type="character" w:styleId="CommentReference">
    <w:name w:val="annotation reference"/>
    <w:basedOn w:val="DefaultParagraphFont"/>
    <w:uiPriority w:val="99"/>
    <w:semiHidden/>
    <w:unhideWhenUsed/>
    <w:rsid w:val="000005E5"/>
    <w:rPr>
      <w:sz w:val="22"/>
      <w:szCs w:val="16"/>
    </w:rPr>
  </w:style>
  <w:style w:type="paragraph" w:styleId="CommentText">
    <w:name w:val="annotation text"/>
    <w:basedOn w:val="Normal"/>
    <w:link w:val="CommentTextChar"/>
    <w:uiPriority w:val="99"/>
    <w:semiHidden/>
    <w:unhideWhenUsed/>
    <w:rsid w:val="000005E5"/>
    <w:pPr>
      <w:spacing w:line="240" w:lineRule="auto"/>
    </w:pPr>
    <w:rPr>
      <w:sz w:val="22"/>
      <w:szCs w:val="20"/>
    </w:rPr>
  </w:style>
  <w:style w:type="character" w:customStyle="1" w:styleId="CommentTextChar">
    <w:name w:val="Comment Text Char"/>
    <w:basedOn w:val="DefaultParagraphFont"/>
    <w:link w:val="CommentText"/>
    <w:uiPriority w:val="99"/>
    <w:semiHidden/>
    <w:rsid w:val="000005E5"/>
    <w:rPr>
      <w:sz w:val="22"/>
      <w:szCs w:val="20"/>
    </w:rPr>
  </w:style>
  <w:style w:type="paragraph" w:styleId="CommentSubject">
    <w:name w:val="annotation subject"/>
    <w:basedOn w:val="CommentText"/>
    <w:next w:val="CommentText"/>
    <w:link w:val="CommentSubjectChar"/>
    <w:uiPriority w:val="99"/>
    <w:semiHidden/>
    <w:unhideWhenUsed/>
    <w:rsid w:val="000005E5"/>
    <w:rPr>
      <w:b/>
      <w:bCs/>
    </w:rPr>
  </w:style>
  <w:style w:type="character" w:customStyle="1" w:styleId="CommentSubjectChar">
    <w:name w:val="Comment Subject Char"/>
    <w:basedOn w:val="CommentTextChar"/>
    <w:link w:val="CommentSubject"/>
    <w:uiPriority w:val="99"/>
    <w:semiHidden/>
    <w:rsid w:val="000005E5"/>
    <w:rPr>
      <w:b/>
      <w:bCs/>
      <w:sz w:val="22"/>
      <w:szCs w:val="20"/>
    </w:rPr>
  </w:style>
  <w:style w:type="paragraph" w:styleId="DocumentMap">
    <w:name w:val="Document Map"/>
    <w:basedOn w:val="Normal"/>
    <w:link w:val="DocumentMapChar"/>
    <w:uiPriority w:val="99"/>
    <w:semiHidden/>
    <w:unhideWhenUsed/>
    <w:rsid w:val="000005E5"/>
    <w:pPr>
      <w:spacing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005E5"/>
    <w:rPr>
      <w:rFonts w:ascii="Segoe UI" w:hAnsi="Segoe UI" w:cs="Segoe UI"/>
      <w:sz w:val="22"/>
      <w:szCs w:val="16"/>
    </w:rPr>
  </w:style>
  <w:style w:type="paragraph" w:styleId="EndnoteText">
    <w:name w:val="endnote text"/>
    <w:basedOn w:val="Normal"/>
    <w:link w:val="EndnoteTextChar"/>
    <w:uiPriority w:val="99"/>
    <w:semiHidden/>
    <w:unhideWhenUsed/>
    <w:rsid w:val="000005E5"/>
    <w:pPr>
      <w:spacing w:line="240" w:lineRule="auto"/>
    </w:pPr>
    <w:rPr>
      <w:sz w:val="22"/>
      <w:szCs w:val="20"/>
    </w:rPr>
  </w:style>
  <w:style w:type="character" w:customStyle="1" w:styleId="EndnoteTextChar">
    <w:name w:val="Endnote Text Char"/>
    <w:basedOn w:val="DefaultParagraphFont"/>
    <w:link w:val="EndnoteText"/>
    <w:uiPriority w:val="99"/>
    <w:semiHidden/>
    <w:rsid w:val="000005E5"/>
    <w:rPr>
      <w:sz w:val="22"/>
      <w:szCs w:val="20"/>
    </w:rPr>
  </w:style>
  <w:style w:type="paragraph" w:styleId="EnvelopeReturn">
    <w:name w:val="envelope return"/>
    <w:basedOn w:val="Normal"/>
    <w:uiPriority w:val="99"/>
    <w:semiHidden/>
    <w:unhideWhenUsed/>
    <w:rsid w:val="000005E5"/>
    <w:pPr>
      <w:spacing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0005E5"/>
    <w:pPr>
      <w:spacing w:line="240" w:lineRule="auto"/>
    </w:pPr>
    <w:rPr>
      <w:sz w:val="22"/>
      <w:szCs w:val="20"/>
    </w:rPr>
  </w:style>
  <w:style w:type="character" w:customStyle="1" w:styleId="FootnoteTextChar">
    <w:name w:val="Footnote Text Char"/>
    <w:basedOn w:val="DefaultParagraphFont"/>
    <w:link w:val="FootnoteText"/>
    <w:uiPriority w:val="99"/>
    <w:semiHidden/>
    <w:rsid w:val="000005E5"/>
    <w:rPr>
      <w:sz w:val="22"/>
      <w:szCs w:val="20"/>
    </w:rPr>
  </w:style>
  <w:style w:type="character" w:styleId="HTMLCode">
    <w:name w:val="HTML Code"/>
    <w:basedOn w:val="DefaultParagraphFont"/>
    <w:uiPriority w:val="99"/>
    <w:semiHidden/>
    <w:unhideWhenUsed/>
    <w:rsid w:val="000005E5"/>
    <w:rPr>
      <w:rFonts w:ascii="Consolas" w:hAnsi="Consolas"/>
      <w:sz w:val="22"/>
      <w:szCs w:val="20"/>
    </w:rPr>
  </w:style>
  <w:style w:type="character" w:styleId="HTMLKeyboard">
    <w:name w:val="HTML Keyboard"/>
    <w:basedOn w:val="DefaultParagraphFont"/>
    <w:uiPriority w:val="99"/>
    <w:semiHidden/>
    <w:unhideWhenUsed/>
    <w:rsid w:val="000005E5"/>
    <w:rPr>
      <w:rFonts w:ascii="Consolas" w:hAnsi="Consolas"/>
      <w:sz w:val="22"/>
      <w:szCs w:val="20"/>
    </w:rPr>
  </w:style>
  <w:style w:type="paragraph" w:styleId="HTMLPreformatted">
    <w:name w:val="HTML Preformatted"/>
    <w:basedOn w:val="Normal"/>
    <w:link w:val="HTMLPreformattedChar"/>
    <w:uiPriority w:val="99"/>
    <w:semiHidden/>
    <w:unhideWhenUsed/>
    <w:rsid w:val="000005E5"/>
    <w:pPr>
      <w:spacing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0005E5"/>
    <w:rPr>
      <w:rFonts w:ascii="Consolas" w:hAnsi="Consolas"/>
      <w:sz w:val="22"/>
      <w:szCs w:val="20"/>
    </w:rPr>
  </w:style>
  <w:style w:type="character" w:styleId="HTMLTypewriter">
    <w:name w:val="HTML Typewriter"/>
    <w:basedOn w:val="DefaultParagraphFont"/>
    <w:uiPriority w:val="99"/>
    <w:semiHidden/>
    <w:unhideWhenUsed/>
    <w:rsid w:val="000005E5"/>
    <w:rPr>
      <w:rFonts w:ascii="Consolas" w:hAnsi="Consolas"/>
      <w:sz w:val="22"/>
      <w:szCs w:val="20"/>
    </w:rPr>
  </w:style>
  <w:style w:type="paragraph" w:styleId="MacroText">
    <w:name w:val="macro"/>
    <w:link w:val="MacroTextChar"/>
    <w:uiPriority w:val="99"/>
    <w:semiHidden/>
    <w:unhideWhenUsed/>
    <w:rsid w:val="000005E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szCs w:val="20"/>
    </w:rPr>
  </w:style>
  <w:style w:type="character" w:customStyle="1" w:styleId="MacroTextChar">
    <w:name w:val="Macro Text Char"/>
    <w:basedOn w:val="DefaultParagraphFont"/>
    <w:link w:val="MacroText"/>
    <w:uiPriority w:val="99"/>
    <w:semiHidden/>
    <w:rsid w:val="000005E5"/>
    <w:rPr>
      <w:rFonts w:ascii="Consolas" w:hAnsi="Consolas"/>
      <w:sz w:val="22"/>
      <w:szCs w:val="20"/>
    </w:rPr>
  </w:style>
  <w:style w:type="paragraph" w:styleId="PlainText">
    <w:name w:val="Plain Text"/>
    <w:basedOn w:val="Normal"/>
    <w:link w:val="PlainTextChar"/>
    <w:uiPriority w:val="99"/>
    <w:semiHidden/>
    <w:unhideWhenUsed/>
    <w:rsid w:val="000005E5"/>
    <w:pPr>
      <w:spacing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0005E5"/>
    <w:rPr>
      <w:rFonts w:ascii="Consolas" w:hAnsi="Consolas"/>
      <w:sz w:val="22"/>
      <w:szCs w:val="21"/>
    </w:rPr>
  </w:style>
  <w:style w:type="paragraph" w:styleId="BlockText">
    <w:name w:val="Block Text"/>
    <w:basedOn w:val="Normal"/>
    <w:uiPriority w:val="99"/>
    <w:semiHidden/>
    <w:unhideWhenUsed/>
    <w:rsid w:val="000005E5"/>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cstheme="minorBidi"/>
      <w:i/>
      <w:iCs/>
      <w:color w:val="1F4E79" w:themeColor="accent1" w:themeShade="80"/>
    </w:rPr>
  </w:style>
  <w:style w:type="character" w:styleId="Hyperlink">
    <w:name w:val="Hyperlink"/>
    <w:basedOn w:val="DefaultParagraphFont"/>
    <w:uiPriority w:val="99"/>
    <w:semiHidden/>
    <w:unhideWhenUsed/>
    <w:rsid w:val="000005E5"/>
    <w:rPr>
      <w:color w:val="806000" w:themeColor="accent4" w:themeShade="80"/>
      <w:u w:val="single"/>
    </w:rPr>
  </w:style>
  <w:style w:type="character" w:styleId="PlaceholderText">
    <w:name w:val="Placeholder Text"/>
    <w:basedOn w:val="DefaultParagraphFont"/>
    <w:uiPriority w:val="99"/>
    <w:semiHidden/>
    <w:rsid w:val="000005E5"/>
    <w:rPr>
      <w:color w:val="52565B" w:themeColor="tex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66554">
      <w:bodyDiv w:val="1"/>
      <w:marLeft w:val="0"/>
      <w:marRight w:val="0"/>
      <w:marTop w:val="0"/>
      <w:marBottom w:val="0"/>
      <w:divBdr>
        <w:top w:val="none" w:sz="0" w:space="0" w:color="auto"/>
        <w:left w:val="none" w:sz="0" w:space="0" w:color="auto"/>
        <w:bottom w:val="none" w:sz="0" w:space="0" w:color="auto"/>
        <w:right w:val="none" w:sz="0" w:space="0" w:color="auto"/>
      </w:divBdr>
      <w:divsChild>
        <w:div w:id="1267882503">
          <w:marLeft w:val="0"/>
          <w:marRight w:val="0"/>
          <w:marTop w:val="240"/>
          <w:marBottom w:val="240"/>
          <w:divBdr>
            <w:top w:val="none" w:sz="0" w:space="0" w:color="auto"/>
            <w:left w:val="none" w:sz="0" w:space="0" w:color="auto"/>
            <w:bottom w:val="none" w:sz="0" w:space="0" w:color="auto"/>
            <w:right w:val="none" w:sz="0" w:space="0" w:color="auto"/>
          </w:divBdr>
        </w:div>
        <w:div w:id="1496263427">
          <w:marLeft w:val="0"/>
          <w:marRight w:val="0"/>
          <w:marTop w:val="240"/>
          <w:marBottom w:val="240"/>
          <w:divBdr>
            <w:top w:val="none" w:sz="0" w:space="0" w:color="auto"/>
            <w:left w:val="none" w:sz="0" w:space="0" w:color="auto"/>
            <w:bottom w:val="none" w:sz="0" w:space="0" w:color="auto"/>
            <w:right w:val="none" w:sz="0" w:space="0" w:color="auto"/>
          </w:divBdr>
        </w:div>
        <w:div w:id="636884942">
          <w:marLeft w:val="0"/>
          <w:marRight w:val="0"/>
          <w:marTop w:val="240"/>
          <w:marBottom w:val="240"/>
          <w:divBdr>
            <w:top w:val="none" w:sz="0" w:space="0" w:color="auto"/>
            <w:left w:val="none" w:sz="0" w:space="0" w:color="auto"/>
            <w:bottom w:val="none" w:sz="0" w:space="0" w:color="auto"/>
            <w:right w:val="none" w:sz="0" w:space="0" w:color="auto"/>
          </w:divBdr>
        </w:div>
        <w:div w:id="1282760231">
          <w:marLeft w:val="0"/>
          <w:marRight w:val="0"/>
          <w:marTop w:val="240"/>
          <w:marBottom w:val="240"/>
          <w:divBdr>
            <w:top w:val="none" w:sz="0" w:space="0" w:color="auto"/>
            <w:left w:val="none" w:sz="0" w:space="0" w:color="auto"/>
            <w:bottom w:val="none" w:sz="0" w:space="0" w:color="auto"/>
            <w:right w:val="none" w:sz="0" w:space="0" w:color="auto"/>
          </w:divBdr>
        </w:div>
        <w:div w:id="782918852">
          <w:marLeft w:val="0"/>
          <w:marRight w:val="0"/>
          <w:marTop w:val="240"/>
          <w:marBottom w:val="240"/>
          <w:divBdr>
            <w:top w:val="none" w:sz="0" w:space="0" w:color="auto"/>
            <w:left w:val="none" w:sz="0" w:space="0" w:color="auto"/>
            <w:bottom w:val="none" w:sz="0" w:space="0" w:color="auto"/>
            <w:right w:val="none" w:sz="0" w:space="0" w:color="auto"/>
          </w:divBdr>
        </w:div>
        <w:div w:id="1380931143">
          <w:marLeft w:val="0"/>
          <w:marRight w:val="0"/>
          <w:marTop w:val="240"/>
          <w:marBottom w:val="240"/>
          <w:divBdr>
            <w:top w:val="none" w:sz="0" w:space="0" w:color="auto"/>
            <w:left w:val="none" w:sz="0" w:space="0" w:color="auto"/>
            <w:bottom w:val="none" w:sz="0" w:space="0" w:color="auto"/>
            <w:right w:val="none" w:sz="0" w:space="0" w:color="auto"/>
          </w:divBdr>
        </w:div>
        <w:div w:id="2069497803">
          <w:marLeft w:val="0"/>
          <w:marRight w:val="0"/>
          <w:marTop w:val="240"/>
          <w:marBottom w:val="240"/>
          <w:divBdr>
            <w:top w:val="none" w:sz="0" w:space="0" w:color="auto"/>
            <w:left w:val="none" w:sz="0" w:space="0" w:color="auto"/>
            <w:bottom w:val="none" w:sz="0" w:space="0" w:color="auto"/>
            <w:right w:val="none" w:sz="0" w:space="0" w:color="auto"/>
          </w:divBdr>
        </w:div>
        <w:div w:id="228808052">
          <w:marLeft w:val="0"/>
          <w:marRight w:val="0"/>
          <w:marTop w:val="240"/>
          <w:marBottom w:val="240"/>
          <w:divBdr>
            <w:top w:val="none" w:sz="0" w:space="0" w:color="auto"/>
            <w:left w:val="none" w:sz="0" w:space="0" w:color="auto"/>
            <w:bottom w:val="none" w:sz="0" w:space="0" w:color="auto"/>
            <w:right w:val="none" w:sz="0" w:space="0" w:color="auto"/>
          </w:divBdr>
        </w:div>
        <w:div w:id="1830975343">
          <w:marLeft w:val="0"/>
          <w:marRight w:val="0"/>
          <w:marTop w:val="240"/>
          <w:marBottom w:val="240"/>
          <w:divBdr>
            <w:top w:val="none" w:sz="0" w:space="0" w:color="auto"/>
            <w:left w:val="none" w:sz="0" w:space="0" w:color="auto"/>
            <w:bottom w:val="none" w:sz="0" w:space="0" w:color="auto"/>
            <w:right w:val="none" w:sz="0" w:space="0" w:color="auto"/>
          </w:divBdr>
        </w:div>
        <w:div w:id="2016112334">
          <w:marLeft w:val="0"/>
          <w:marRight w:val="0"/>
          <w:marTop w:val="240"/>
          <w:marBottom w:val="240"/>
          <w:divBdr>
            <w:top w:val="none" w:sz="0" w:space="0" w:color="auto"/>
            <w:left w:val="none" w:sz="0" w:space="0" w:color="auto"/>
            <w:bottom w:val="none" w:sz="0" w:space="0" w:color="auto"/>
            <w:right w:val="none" w:sz="0" w:space="0" w:color="auto"/>
          </w:divBdr>
        </w:div>
        <w:div w:id="215899412">
          <w:marLeft w:val="0"/>
          <w:marRight w:val="0"/>
          <w:marTop w:val="240"/>
          <w:marBottom w:val="240"/>
          <w:divBdr>
            <w:top w:val="none" w:sz="0" w:space="0" w:color="auto"/>
            <w:left w:val="none" w:sz="0" w:space="0" w:color="auto"/>
            <w:bottom w:val="none" w:sz="0" w:space="0" w:color="auto"/>
            <w:right w:val="none" w:sz="0" w:space="0" w:color="auto"/>
          </w:divBdr>
        </w:div>
        <w:div w:id="1635409005">
          <w:marLeft w:val="0"/>
          <w:marRight w:val="0"/>
          <w:marTop w:val="240"/>
          <w:marBottom w:val="240"/>
          <w:divBdr>
            <w:top w:val="none" w:sz="0" w:space="0" w:color="auto"/>
            <w:left w:val="none" w:sz="0" w:space="0" w:color="auto"/>
            <w:bottom w:val="none" w:sz="0" w:space="0" w:color="auto"/>
            <w:right w:val="none" w:sz="0" w:space="0" w:color="auto"/>
          </w:divBdr>
        </w:div>
        <w:div w:id="1541285418">
          <w:marLeft w:val="0"/>
          <w:marRight w:val="0"/>
          <w:marTop w:val="240"/>
          <w:marBottom w:val="240"/>
          <w:divBdr>
            <w:top w:val="none" w:sz="0" w:space="0" w:color="auto"/>
            <w:left w:val="none" w:sz="0" w:space="0" w:color="auto"/>
            <w:bottom w:val="none" w:sz="0" w:space="0" w:color="auto"/>
            <w:right w:val="none" w:sz="0" w:space="0" w:color="auto"/>
          </w:divBdr>
        </w:div>
        <w:div w:id="1000813128">
          <w:marLeft w:val="0"/>
          <w:marRight w:val="0"/>
          <w:marTop w:val="240"/>
          <w:marBottom w:val="240"/>
          <w:divBdr>
            <w:top w:val="none" w:sz="0" w:space="0" w:color="auto"/>
            <w:left w:val="none" w:sz="0" w:space="0" w:color="auto"/>
            <w:bottom w:val="none" w:sz="0" w:space="0" w:color="auto"/>
            <w:right w:val="none" w:sz="0" w:space="0" w:color="auto"/>
          </w:divBdr>
        </w:div>
        <w:div w:id="162865341">
          <w:marLeft w:val="0"/>
          <w:marRight w:val="0"/>
          <w:marTop w:val="240"/>
          <w:marBottom w:val="240"/>
          <w:divBdr>
            <w:top w:val="none" w:sz="0" w:space="0" w:color="auto"/>
            <w:left w:val="none" w:sz="0" w:space="0" w:color="auto"/>
            <w:bottom w:val="none" w:sz="0" w:space="0" w:color="auto"/>
            <w:right w:val="none" w:sz="0" w:space="0" w:color="auto"/>
          </w:divBdr>
        </w:div>
        <w:div w:id="41833378">
          <w:marLeft w:val="0"/>
          <w:marRight w:val="0"/>
          <w:marTop w:val="240"/>
          <w:marBottom w:val="240"/>
          <w:divBdr>
            <w:top w:val="none" w:sz="0" w:space="0" w:color="auto"/>
            <w:left w:val="none" w:sz="0" w:space="0" w:color="auto"/>
            <w:bottom w:val="none" w:sz="0" w:space="0" w:color="auto"/>
            <w:right w:val="none" w:sz="0" w:space="0" w:color="auto"/>
          </w:divBdr>
        </w:div>
        <w:div w:id="471291772">
          <w:marLeft w:val="0"/>
          <w:marRight w:val="0"/>
          <w:marTop w:val="240"/>
          <w:marBottom w:val="240"/>
          <w:divBdr>
            <w:top w:val="none" w:sz="0" w:space="0" w:color="auto"/>
            <w:left w:val="none" w:sz="0" w:space="0" w:color="auto"/>
            <w:bottom w:val="none" w:sz="0" w:space="0" w:color="auto"/>
            <w:right w:val="none" w:sz="0" w:space="0" w:color="auto"/>
          </w:divBdr>
        </w:div>
        <w:div w:id="1527718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lka\AppData\Roaming\Microsoft\Templates\Classic%20doub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6E747A"/>
      </a:dk2>
      <a:lt2>
        <a:srgbClr val="E7E6E6"/>
      </a:lt2>
      <a:accent1>
        <a:srgbClr val="5B9BD5"/>
      </a:accent1>
      <a:accent2>
        <a:srgbClr val="ED7D31"/>
      </a:accent2>
      <a:accent3>
        <a:srgbClr val="A5A5A5"/>
      </a:accent3>
      <a:accent4>
        <a:srgbClr val="FFC000"/>
      </a:accent4>
      <a:accent5>
        <a:srgbClr val="4472C4"/>
      </a:accent5>
      <a:accent6>
        <a:srgbClr val="70AD47"/>
      </a:accent6>
      <a:hlink>
        <a:srgbClr val="F7B615"/>
      </a:hlink>
      <a:folHlink>
        <a:srgbClr val="704404"/>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Classic double spaced (blank)</Template>
  <TotalTime>13</TotalTime>
  <Pages>20</Pages>
  <Words>5550</Words>
  <Characters>31639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Casper</dc:creator>
  <cp:lastModifiedBy>Brandon Casper</cp:lastModifiedBy>
  <cp:revision>1</cp:revision>
  <dcterms:created xsi:type="dcterms:W3CDTF">2021-04-15T01:49:00Z</dcterms:created>
  <dcterms:modified xsi:type="dcterms:W3CDTF">2021-04-15T02:02:00Z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LocalizationTags">
    <vt:lpwstr/>
  </property>
  <property fmtid="{D5CDD505-2E9C-101B-9397-08002B2CF9AE}" pid="5" name="FeatureTags">
    <vt:lpwstr/>
  </property>
  <property fmtid="{D5CDD505-2E9C-101B-9397-08002B2CF9AE}" pid="6" name="CampaignTags">
    <vt:lpwstr/>
  </property>
  <property fmtid="{D5CDD505-2E9C-101B-9397-08002B2CF9AE}" pid="7" name="ScenarioTags">
    <vt:lpwstr/>
  </property>
</Properties>
</file>